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A fund would be established, in principle, by a decision of CMA4, with brief but clear key elements of the fund’s design necessary to ensure it will add value to the current institutional landscape.</w:t>
      </w:r>
    </w:p>
    <w:p w:rsidR="00000000" w:rsidDel="00000000" w:rsidP="00000000" w:rsidRDefault="00000000" w:rsidRPr="00000000" w14:paraId="00000003">
      <w:pPr>
        <w:rPr/>
      </w:pPr>
      <w:r w:rsidDel="00000000" w:rsidR="00000000" w:rsidRPr="00000000">
        <w:rPr>
          <w:rtl w:val="0"/>
        </w:rPr>
        <w:t xml:space="preserve">The more detailed arrangements necessary to make the fund operational would be negotiated, alongside other funding arrangements for loss and damage, under the process launched by the agenda item agreed for CMA4.</w:t>
      </w:r>
    </w:p>
    <w:p w:rsidR="00000000" w:rsidDel="00000000" w:rsidP="00000000" w:rsidRDefault="00000000" w:rsidRPr="00000000" w14:paraId="00000004">
      <w:pPr>
        <w:rPr/>
      </w:pPr>
      <w:r w:rsidDel="00000000" w:rsidR="00000000" w:rsidRPr="00000000">
        <w:rPr>
          <w:rtl w:val="0"/>
        </w:rPr>
        <w:t xml:space="preserve">The </w:t>
      </w:r>
      <w:r w:rsidDel="00000000" w:rsidR="00000000" w:rsidRPr="00000000">
        <w:rPr>
          <w:b w:val="1"/>
          <w:rtl w:val="0"/>
        </w:rPr>
        <w:t xml:space="preserve">key elements</w:t>
      </w:r>
      <w:r w:rsidDel="00000000" w:rsidR="00000000" w:rsidRPr="00000000">
        <w:rPr>
          <w:rtl w:val="0"/>
        </w:rPr>
        <w:t xml:space="preserve"> of the fund that will be decided here are:</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fund will be designed to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assist the most vulnerable countries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 responding to the adverse effects of climate change.</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Funding will be provided for the most vulnerable countries, which would include LDCs and SIDS. The work programme will further set out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eligibility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support provided by the fund is focused specifically on activities and areas related to loss and damage under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article 8</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of the Paris Agreement.</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is essential that the fund receives financial inputs from a broad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donor base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that includes developed countries, other countries that are in a position to do so, and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innovative sources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of finance.  These will be explored and assessed by the process over the next year and could include potential levies on aviation, shipping and fossil fuels.</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Details on these key elements and the design of this fund are elaborated over the next two years in 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work plan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that is also set out in the CMA decision here. </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new fund is part of 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mosaic of solutions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including those addressing debt relief and the and reforming the MDBs.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are ready to establish a new fund as set out above - but it has to be part of 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balanced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package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that includes mitigation and addressing wider finance flows.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mitigation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EU has put forward key asks for the mitigation outcomes at COP 27. Both the cover decision and the mitigation work programme need to set the course towards a Glasgow Climate Pact “plus” momentum, which effectively enhances ambition and implementation in this critical decade. This means all Parties must reaffirm and respond to the latest scientific knowledge, including peaking of emissions before 2025 by:</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106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Maintaining the pursuit of efforts towards keeping 1,5C alive by revisiting the targets in their NDCs ahead of the UNSG Summit in 2023  </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106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accountable towards the sectoral commitments made in Glasgow.  </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106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Agree on a course of action for phasing out all unabated fossil fuels and enhancing renewables in their energy mix in line with 1,5C pathways</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106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Agree to a mitigation work programme until the end of this critical decade that addresses the urgency of implementation and ambition.</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also have to create of a space for parties to discuss how to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make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all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finance flows support the objectives of the Paris Agreement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pathways towards just transitions. Article 2.1c is in the interest of all parties. We will not be able to stay within 1.5 degrees, achieve our adaptation goals or respond to Loss and Damage if article 2.1c is not on the agenda of the multilateral climate process. </w:t>
      </w:r>
    </w:p>
    <w:sectPr>
      <w:headerReference r:id="rId6" w:type="default"/>
      <w:headerReference r:id="rId7" w:type="first"/>
      <w:headerReference r:id="rId8" w:type="even"/>
      <w:footerReference r:id="rId9" w:type="default"/>
      <w:footerReference r:id="rId10" w:type="first"/>
      <w:footerReference r:id="rId11" w:type="even"/>
      <w:pgSz w:h="16840" w:w="11901" w:orient="portrait"/>
      <w:pgMar w:bottom="1418" w:top="1418" w:left="1418" w:right="1418" w:header="720"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071"/>
      </w:tabs>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819"/>
        <w:tab w:val="right" w:pos="9071"/>
      </w:tabs>
      <w:spacing w:after="20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071"/>
      </w:tabs>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Document4</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819"/>
        <w:tab w:val="right" w:pos="9071"/>
      </w:tabs>
      <w:spacing w:after="20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EU proposal for a Sharm El-Sheik Package to Help Protect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819"/>
        <w:tab w:val="right" w:pos="9071"/>
      </w:tabs>
      <w:spacing w:after="20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Most Vulnerable and the Climate System </w:t>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819"/>
        <w:tab w:val="right" w:pos="9071"/>
      </w:tabs>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457200" cy="405384"/>
          <wp:effectExtent b="0" l="0" r="0" t="0"/>
          <wp:docPr descr="ecologic-logo-XS.jpg" id="1" name="image1.png"/>
          <a:graphic>
            <a:graphicData uri="http://schemas.openxmlformats.org/drawingml/2006/picture">
              <pic:pic>
                <pic:nvPicPr>
                  <pic:cNvPr descr="ecologic-logo-XS.jpg" id="0" name="image1.png"/>
                  <pic:cNvPicPr preferRelativeResize="0"/>
                </pic:nvPicPr>
                <pic:blipFill>
                  <a:blip r:embed="rId1"/>
                  <a:srcRect b="0" l="0" r="0" t="0"/>
                  <a:stretch>
                    <a:fillRect/>
                  </a:stretch>
                </pic:blipFill>
                <pic:spPr>
                  <a:xfrm>
                    <a:off x="0" y="0"/>
                    <a:ext cx="457200" cy="405384"/>
                  </a:xfrm>
                  <a:prstGeom prst="rect"/>
                  <a:ln/>
                </pic:spPr>
              </pic:pic>
            </a:graphicData>
          </a:graphic>
        </wp:inline>
      </w:drawing>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o"/>
      <w:lvlJc w:val="left"/>
      <w:pPr>
        <w:ind w:left="1069"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o"/>
      <w:lvlJc w:val="left"/>
      <w:pPr>
        <w:ind w:left="1069"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731" w:hanging="360.00000000000006"/>
      </w:pPr>
      <w:rPr>
        <w:rFonts w:ascii="Courier New" w:cs="Courier New" w:eastAsia="Courier New" w:hAnsi="Courier New"/>
      </w:rPr>
    </w:lvl>
    <w:lvl w:ilvl="2">
      <w:start w:val="1"/>
      <w:numFmt w:val="bullet"/>
      <w:lvlText w:val="▪"/>
      <w:lvlJc w:val="left"/>
      <w:pPr>
        <w:ind w:left="1451" w:hanging="360"/>
      </w:pPr>
      <w:rPr>
        <w:rFonts w:ascii="Noto Sans Symbols" w:cs="Noto Sans Symbols" w:eastAsia="Noto Sans Symbols" w:hAnsi="Noto Sans Symbols"/>
      </w:rPr>
    </w:lvl>
    <w:lvl w:ilvl="3">
      <w:start w:val="1"/>
      <w:numFmt w:val="bullet"/>
      <w:lvlText w:val="●"/>
      <w:lvlJc w:val="left"/>
      <w:pPr>
        <w:ind w:left="2171" w:hanging="360"/>
      </w:pPr>
      <w:rPr>
        <w:rFonts w:ascii="Noto Sans Symbols" w:cs="Noto Sans Symbols" w:eastAsia="Noto Sans Symbols" w:hAnsi="Noto Sans Symbols"/>
      </w:rPr>
    </w:lvl>
    <w:lvl w:ilvl="4">
      <w:start w:val="1"/>
      <w:numFmt w:val="bullet"/>
      <w:lvlText w:val="o"/>
      <w:lvlJc w:val="left"/>
      <w:pPr>
        <w:ind w:left="2891" w:hanging="360"/>
      </w:pPr>
      <w:rPr>
        <w:rFonts w:ascii="Courier New" w:cs="Courier New" w:eastAsia="Courier New" w:hAnsi="Courier New"/>
      </w:rPr>
    </w:lvl>
    <w:lvl w:ilvl="5">
      <w:start w:val="1"/>
      <w:numFmt w:val="bullet"/>
      <w:lvlText w:val="▪"/>
      <w:lvlJc w:val="left"/>
      <w:pPr>
        <w:ind w:left="3611" w:hanging="360"/>
      </w:pPr>
      <w:rPr>
        <w:rFonts w:ascii="Noto Sans Symbols" w:cs="Noto Sans Symbols" w:eastAsia="Noto Sans Symbols" w:hAnsi="Noto Sans Symbols"/>
      </w:rPr>
    </w:lvl>
    <w:lvl w:ilvl="6">
      <w:start w:val="1"/>
      <w:numFmt w:val="bullet"/>
      <w:lvlText w:val="●"/>
      <w:lvlJc w:val="left"/>
      <w:pPr>
        <w:ind w:left="4331" w:hanging="360"/>
      </w:pPr>
      <w:rPr>
        <w:rFonts w:ascii="Noto Sans Symbols" w:cs="Noto Sans Symbols" w:eastAsia="Noto Sans Symbols" w:hAnsi="Noto Sans Symbols"/>
      </w:rPr>
    </w:lvl>
    <w:lvl w:ilvl="7">
      <w:start w:val="1"/>
      <w:numFmt w:val="bullet"/>
      <w:lvlText w:val="o"/>
      <w:lvlJc w:val="left"/>
      <w:pPr>
        <w:ind w:left="5051" w:hanging="360"/>
      </w:pPr>
      <w:rPr>
        <w:rFonts w:ascii="Courier New" w:cs="Courier New" w:eastAsia="Courier New" w:hAnsi="Courier New"/>
      </w:rPr>
    </w:lvl>
    <w:lvl w:ilvl="8">
      <w:start w:val="1"/>
      <w:numFmt w:val="bullet"/>
      <w:lvlText w:val="▪"/>
      <w:lvlJc w:val="left"/>
      <w:pPr>
        <w:ind w:left="5771"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Bdr>
        <w:bottom w:color="89a7f3" w:space="8" w:sz="24" w:val="single"/>
      </w:pBdr>
      <w:tabs>
        <w:tab w:val="left" w:pos="709"/>
      </w:tabs>
      <w:spacing w:after="360" w:before="480" w:line="440" w:lineRule="auto"/>
      <w:ind w:left="432" w:hanging="432"/>
    </w:pPr>
    <w:rPr>
      <w:b w:val="1"/>
      <w:color w:val="1d3794"/>
      <w:sz w:val="32"/>
      <w:szCs w:val="32"/>
    </w:rPr>
  </w:style>
  <w:style w:type="paragraph" w:styleId="Heading2">
    <w:name w:val="heading 2"/>
    <w:basedOn w:val="Normal"/>
    <w:next w:val="Normal"/>
    <w:pPr>
      <w:keepNext w:val="1"/>
      <w:spacing w:after="240" w:before="360" w:line="360" w:lineRule="auto"/>
      <w:ind w:left="576" w:hanging="576"/>
    </w:pPr>
    <w:rPr>
      <w:b w:val="1"/>
      <w:color w:val="1d3794"/>
      <w:sz w:val="26"/>
      <w:szCs w:val="26"/>
    </w:rPr>
  </w:style>
  <w:style w:type="paragraph" w:styleId="Heading3">
    <w:name w:val="heading 3"/>
    <w:basedOn w:val="Normal"/>
    <w:next w:val="Normal"/>
    <w:pPr>
      <w:keepNext w:val="1"/>
      <w:spacing w:after="120" w:before="240" w:line="280" w:lineRule="auto"/>
      <w:ind w:left="720" w:hanging="720"/>
      <w:jc w:val="both"/>
    </w:pPr>
    <w:rPr>
      <w:b w:val="1"/>
      <w:color w:val="4472c4"/>
      <w:sz w:val="21"/>
      <w:szCs w:val="21"/>
    </w:rPr>
  </w:style>
  <w:style w:type="paragraph" w:styleId="Heading4">
    <w:name w:val="heading 4"/>
    <w:basedOn w:val="Normal"/>
    <w:next w:val="Normal"/>
    <w:pPr>
      <w:keepNext w:val="1"/>
      <w:ind w:left="864" w:hanging="864"/>
    </w:pPr>
    <w:rPr>
      <w:i w:val="1"/>
      <w:color w:val="2f5496"/>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ind w:left="1152" w:hanging="1152"/>
    </w:pPr>
    <w:rPr>
      <w:u w:val="singl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