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F56E41" w14:textId="77777777" w:rsidR="008765BE" w:rsidRDefault="008765BE"/>
    <w:p w14:paraId="1B936033" w14:textId="77777777" w:rsidR="0022592C" w:rsidRPr="006341E8" w:rsidRDefault="0022592C" w:rsidP="006341E8">
      <w:pPr>
        <w:pStyle w:val="NormalBold"/>
        <w:rPr>
          <w:sz w:val="28"/>
          <w:u w:val="single"/>
        </w:rPr>
      </w:pPr>
    </w:p>
    <w:p w14:paraId="7FDE3AEC" w14:textId="46D5A042" w:rsidR="006341E8" w:rsidRPr="006341E8" w:rsidRDefault="001471CB" w:rsidP="0022592C">
      <w:pPr>
        <w:pStyle w:val="NormalBold"/>
        <w:rPr>
          <w:sz w:val="28"/>
          <w:u w:val="single"/>
        </w:rPr>
      </w:pPr>
      <w:r>
        <w:rPr>
          <w:sz w:val="28"/>
          <w:u w:val="single"/>
        </w:rPr>
        <w:t xml:space="preserve">LRF, rebasing - </w:t>
      </w:r>
      <w:r w:rsidR="009B432A">
        <w:rPr>
          <w:sz w:val="28"/>
          <w:u w:val="single"/>
        </w:rPr>
        <w:t xml:space="preserve">alternative compromise. </w:t>
      </w:r>
      <w:r w:rsidR="006341E8" w:rsidRPr="006341E8">
        <w:rPr>
          <w:sz w:val="28"/>
          <w:u w:val="single"/>
        </w:rPr>
        <w:t xml:space="preserve"> </w:t>
      </w:r>
    </w:p>
    <w:p w14:paraId="65206478" w14:textId="078E0A25" w:rsidR="006341E8" w:rsidRDefault="006341E8" w:rsidP="0022592C">
      <w:pPr>
        <w:pStyle w:val="NormalBold"/>
        <w:rPr>
          <w:rStyle w:val="HideTWBExt"/>
          <w:rFonts w:eastAsiaTheme="majorEastAsia"/>
          <w:vanish w:val="0"/>
        </w:rPr>
      </w:pPr>
    </w:p>
    <w:p w14:paraId="679ECC88" w14:textId="0FB54315" w:rsidR="001471CB" w:rsidRPr="008B7CA3" w:rsidRDefault="001471CB" w:rsidP="001471CB">
      <w:pPr>
        <w:pBdr>
          <w:top w:val="single" w:sz="4" w:space="1" w:color="auto"/>
          <w:left w:val="single" w:sz="4" w:space="4" w:color="auto"/>
          <w:bottom w:val="single" w:sz="4" w:space="1" w:color="auto"/>
          <w:right w:val="single" w:sz="4" w:space="4" w:color="auto"/>
        </w:pBdr>
      </w:pPr>
      <w:r w:rsidRPr="43451A41">
        <w:rPr>
          <w:rStyle w:val="HideTWBExt"/>
        </w:rPr>
        <w:t>&lt;/RepeatBlock-By&gt;&lt;Compromise&gt;</w:t>
      </w:r>
      <w:r>
        <w:t>Compromise amendment replacing Amendm</w:t>
      </w:r>
      <w:r>
        <w:t>ents 793-815 (Article 9(3)); 240</w:t>
      </w:r>
      <w:r>
        <w:t>-254 (recital 26</w:t>
      </w:r>
      <w:r>
        <w:t>, 27</w:t>
      </w:r>
      <w:r>
        <w:t>)</w:t>
      </w:r>
    </w:p>
    <w:p w14:paraId="6F27DEE4" w14:textId="77777777" w:rsidR="001471CB" w:rsidRPr="006341E8" w:rsidRDefault="001471CB" w:rsidP="0022592C">
      <w:pPr>
        <w:pStyle w:val="NormalBold"/>
        <w:rPr>
          <w:rStyle w:val="HideTWBExt"/>
          <w:rFonts w:eastAsiaTheme="majorEastAsia"/>
          <w:vanish w:val="0"/>
        </w:rPr>
      </w:pPr>
    </w:p>
    <w:p w14:paraId="26BB3366" w14:textId="77777777" w:rsidR="006341E8" w:rsidRPr="001471CB" w:rsidRDefault="006341E8" w:rsidP="0022592C">
      <w:pPr>
        <w:pStyle w:val="NormalBold"/>
        <w:rPr>
          <w:rStyle w:val="HideTWBExt"/>
          <w:rFonts w:eastAsiaTheme="majorEastAsia"/>
          <w:vanish w:val="0"/>
        </w:rPr>
      </w:pPr>
    </w:p>
    <w:p w14:paraId="76AFA7CB" w14:textId="77777777" w:rsidR="0022592C" w:rsidRPr="00D7662D" w:rsidRDefault="0022592C" w:rsidP="0022592C">
      <w:pPr>
        <w:pStyle w:val="NormalBold"/>
        <w:rPr>
          <w:lang w:val="fr-FR"/>
        </w:rPr>
      </w:pPr>
      <w:r w:rsidRPr="00D7662D">
        <w:rPr>
          <w:rStyle w:val="HideTWBExt"/>
          <w:rFonts w:eastAsiaTheme="majorEastAsia"/>
          <w:lang w:val="fr-FR"/>
        </w:rPr>
        <w:t>&lt;DocAmend&gt;</w:t>
      </w:r>
      <w:r w:rsidRPr="00D7662D">
        <w:rPr>
          <w:lang w:val="fr-FR"/>
        </w:rPr>
        <w:t>Proposal for a directive</w:t>
      </w:r>
      <w:r w:rsidRPr="00D7662D">
        <w:rPr>
          <w:rStyle w:val="HideTWBExt"/>
          <w:rFonts w:eastAsiaTheme="majorEastAsia"/>
          <w:lang w:val="fr-FR"/>
        </w:rPr>
        <w:t>&lt;/DocAmend&gt;</w:t>
      </w:r>
    </w:p>
    <w:p w14:paraId="4BC50B7C" w14:textId="77777777" w:rsidR="0022592C" w:rsidRPr="00D7662D" w:rsidRDefault="0022592C" w:rsidP="0022592C">
      <w:pPr>
        <w:pStyle w:val="NormalBold"/>
        <w:rPr>
          <w:lang w:val="fr-FR"/>
        </w:rPr>
      </w:pPr>
      <w:r w:rsidRPr="00D7662D">
        <w:rPr>
          <w:rStyle w:val="HideTWBExt"/>
          <w:rFonts w:eastAsiaTheme="majorEastAsia"/>
          <w:lang w:val="fr-FR"/>
        </w:rPr>
        <w:t>&lt;Article&gt;</w:t>
      </w:r>
      <w:r w:rsidRPr="00D7662D">
        <w:rPr>
          <w:lang w:val="fr-FR"/>
        </w:rPr>
        <w:t>Article 1 – paragraph 1 – point 10</w:t>
      </w:r>
      <w:r w:rsidRPr="00D7662D">
        <w:rPr>
          <w:rStyle w:val="HideTWBExt"/>
          <w:rFonts w:eastAsiaTheme="majorEastAsia"/>
          <w:lang w:val="fr-FR"/>
        </w:rPr>
        <w:t>&lt;/Article&gt;</w:t>
      </w:r>
    </w:p>
    <w:p w14:paraId="61566DE2" w14:textId="77777777" w:rsidR="0022592C" w:rsidRPr="00D7662D" w:rsidRDefault="0022592C" w:rsidP="0022592C">
      <w:pPr>
        <w:rPr>
          <w:lang w:val="fr-FR"/>
        </w:rPr>
      </w:pPr>
      <w:r w:rsidRPr="00D7662D">
        <w:rPr>
          <w:rStyle w:val="HideTWBExt"/>
          <w:lang w:val="fr-FR"/>
        </w:rPr>
        <w:t>&lt;DocAmend2&gt;</w:t>
      </w:r>
      <w:r w:rsidRPr="00D7662D">
        <w:rPr>
          <w:lang w:val="fr-FR"/>
        </w:rPr>
        <w:t>Directive 2003/87/EC</w:t>
      </w:r>
      <w:r w:rsidRPr="00D7662D">
        <w:rPr>
          <w:rStyle w:val="HideTWBExt"/>
          <w:lang w:val="fr-FR"/>
        </w:rPr>
        <w:t>&lt;/DocAmend2&gt;</w:t>
      </w:r>
    </w:p>
    <w:p w14:paraId="4BC26F23" w14:textId="77777777" w:rsidR="0022592C" w:rsidRPr="00D7662D" w:rsidRDefault="0022592C" w:rsidP="0022592C">
      <w:pPr>
        <w:rPr>
          <w:lang w:val="fr-FR"/>
        </w:rPr>
      </w:pPr>
      <w:r w:rsidRPr="00D7662D">
        <w:rPr>
          <w:rStyle w:val="HideTWBExt"/>
          <w:lang w:val="fr-FR"/>
        </w:rPr>
        <w:t>&lt;Article2&gt;</w:t>
      </w:r>
      <w:r w:rsidRPr="00D7662D">
        <w:rPr>
          <w:lang w:val="fr-FR"/>
        </w:rPr>
        <w:t>Article 9 – paragraph 3</w:t>
      </w:r>
      <w:r w:rsidRPr="00D7662D">
        <w:rPr>
          <w:rStyle w:val="HideTWBExt"/>
          <w:lang w:val="fr-FR"/>
        </w:rPr>
        <w:t>&lt;/Article2&gt;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2592C" w:rsidRPr="001471CB" w14:paraId="78CFB908" w14:textId="77777777" w:rsidTr="00B21677">
        <w:trPr>
          <w:trHeight w:hRule="exact" w:val="240"/>
          <w:jc w:val="center"/>
        </w:trPr>
        <w:tc>
          <w:tcPr>
            <w:tcW w:w="9752" w:type="dxa"/>
            <w:gridSpan w:val="2"/>
          </w:tcPr>
          <w:p w14:paraId="7D2E6B1A" w14:textId="77777777" w:rsidR="0022592C" w:rsidRPr="00D7662D" w:rsidRDefault="0022592C" w:rsidP="00B21677">
            <w:pPr>
              <w:rPr>
                <w:lang w:val="fr-FR"/>
              </w:rPr>
            </w:pPr>
          </w:p>
        </w:tc>
      </w:tr>
      <w:tr w:rsidR="0022592C" w:rsidRPr="00C1308E" w14:paraId="617E1348" w14:textId="77777777" w:rsidTr="00B21677">
        <w:trPr>
          <w:trHeight w:val="240"/>
          <w:jc w:val="center"/>
        </w:trPr>
        <w:tc>
          <w:tcPr>
            <w:tcW w:w="4876" w:type="dxa"/>
          </w:tcPr>
          <w:p w14:paraId="53FA5A05" w14:textId="77777777" w:rsidR="0022592C" w:rsidRPr="00C1308E" w:rsidRDefault="0022592C" w:rsidP="00B21677">
            <w:pPr>
              <w:pStyle w:val="AmColumnHeading"/>
            </w:pPr>
            <w:r w:rsidRPr="00C1308E">
              <w:t>Text proposed by the Commission</w:t>
            </w:r>
          </w:p>
        </w:tc>
        <w:tc>
          <w:tcPr>
            <w:tcW w:w="4876" w:type="dxa"/>
          </w:tcPr>
          <w:p w14:paraId="465C643B" w14:textId="77777777" w:rsidR="0022592C" w:rsidRPr="00C1308E" w:rsidRDefault="0022592C" w:rsidP="00B21677">
            <w:pPr>
              <w:pStyle w:val="AmColumnHeading"/>
            </w:pPr>
            <w:r w:rsidRPr="00C1308E">
              <w:t>Amendment</w:t>
            </w:r>
          </w:p>
        </w:tc>
      </w:tr>
      <w:tr w:rsidR="0022592C" w:rsidRPr="00C1308E" w14:paraId="3B329BE3" w14:textId="77777777" w:rsidTr="00B21677">
        <w:trPr>
          <w:jc w:val="center"/>
        </w:trPr>
        <w:tc>
          <w:tcPr>
            <w:tcW w:w="4876" w:type="dxa"/>
          </w:tcPr>
          <w:p w14:paraId="3CB6A7EB" w14:textId="77777777" w:rsidR="0022592C" w:rsidRPr="00C1308E" w:rsidRDefault="0022592C" w:rsidP="00B21677">
            <w:pPr>
              <w:pStyle w:val="Normal6a"/>
            </w:pPr>
            <w:r w:rsidRPr="00C1308E">
              <w:t xml:space="preserve">In [the year following entry into force of this amendment], the Union-wide quantity of allowances shall </w:t>
            </w:r>
            <w:r w:rsidRPr="00C1308E">
              <w:rPr>
                <w:b/>
                <w:i/>
              </w:rPr>
              <w:t>be decreased by [-- million allowances (to be determined depending on year of entry into force)]</w:t>
            </w:r>
            <w:r w:rsidRPr="00C1308E">
              <w:t xml:space="preserve">. In the same year, the Union-wide quantity of allowances shall be increased by </w:t>
            </w:r>
            <w:r w:rsidRPr="00C1308E">
              <w:rPr>
                <w:b/>
                <w:i/>
              </w:rPr>
              <w:t>79 million</w:t>
            </w:r>
            <w:r w:rsidRPr="00C1308E">
              <w:t xml:space="preserve"> allowances </w:t>
            </w:r>
            <w:r w:rsidRPr="00C1308E">
              <w:rPr>
                <w:b/>
                <w:i/>
              </w:rPr>
              <w:t>for</w:t>
            </w:r>
            <w:r w:rsidRPr="00C1308E">
              <w:t xml:space="preserve"> maritime transport</w:t>
            </w:r>
            <w:r w:rsidRPr="00C1308E">
              <w:rPr>
                <w:b/>
                <w:i/>
              </w:rPr>
              <w:t>. Starting</w:t>
            </w:r>
            <w:r w:rsidRPr="00C1308E">
              <w:t xml:space="preserve"> in [the year following entry into force of this amendment], the linear factor shall be 4,2 %. The Commission shall publish the Union-wide quantity of allowances within 3 months of [date of entry into force of the amendment to be inserted]</w:t>
            </w:r>
            <w:r w:rsidRPr="00C1308E">
              <w:rPr>
                <w:b/>
                <w:i/>
              </w:rPr>
              <w:t>.</w:t>
            </w:r>
            <w:r w:rsidRPr="00C1308E">
              <w:t>;</w:t>
            </w:r>
          </w:p>
        </w:tc>
        <w:tc>
          <w:tcPr>
            <w:tcW w:w="4876" w:type="dxa"/>
          </w:tcPr>
          <w:p w14:paraId="4654B864" w14:textId="19145B43" w:rsidR="0022592C" w:rsidRPr="00C1308E" w:rsidRDefault="0022592C" w:rsidP="0022592C">
            <w:pPr>
              <w:pStyle w:val="Normal6a"/>
            </w:pPr>
            <w:r w:rsidRPr="00C1308E">
              <w:t xml:space="preserve">In [the year following entry into force of this amendment], the Union-wide quantity of allowances shall </w:t>
            </w:r>
            <w:r w:rsidRPr="00C1308E">
              <w:rPr>
                <w:b/>
                <w:i/>
              </w:rPr>
              <w:t xml:space="preserve">equal the average emissions of the </w:t>
            </w:r>
            <w:r>
              <w:rPr>
                <w:b/>
                <w:i/>
              </w:rPr>
              <w:t>period [the three years preceding the year of entry into force]</w:t>
            </w:r>
            <w:r w:rsidRPr="00C1308E">
              <w:rPr>
                <w:b/>
                <w:i/>
              </w:rPr>
              <w:t>, adjusted, from the mid-point of this period, by the linear reduction factor</w:t>
            </w:r>
            <w:r w:rsidRPr="00C1308E">
              <w:t xml:space="preserve">. In the same year, the Union-wide quantity of allowances shall be increased by </w:t>
            </w:r>
            <w:r w:rsidRPr="00C1308E">
              <w:rPr>
                <w:b/>
                <w:i/>
              </w:rPr>
              <w:t>a number of</w:t>
            </w:r>
            <w:r w:rsidRPr="00C1308E">
              <w:t xml:space="preserve"> allowances </w:t>
            </w:r>
            <w:r w:rsidRPr="00C1308E">
              <w:rPr>
                <w:b/>
                <w:i/>
              </w:rPr>
              <w:t>corresponding to the emissions from</w:t>
            </w:r>
            <w:r w:rsidRPr="00C1308E">
              <w:t xml:space="preserve"> maritime transport </w:t>
            </w:r>
            <w:r w:rsidRPr="00C1308E">
              <w:rPr>
                <w:b/>
                <w:i/>
              </w:rPr>
              <w:t>activities reported in accordance with Regulation (EU) 2015/757 for 2018 and 2019 in the Union, adjusted, from year 2021, by the linear reduction factor.</w:t>
            </w:r>
            <w:r w:rsidRPr="00C1308E">
              <w:t xml:space="preserve"> In [the year following entry into force of this amendment], the linear factor shall be 4,2 %</w:t>
            </w:r>
            <w:r w:rsidRPr="00C1308E">
              <w:rPr>
                <w:b/>
                <w:i/>
              </w:rPr>
              <w:t>. In each subsequent year</w:t>
            </w:r>
            <w:r w:rsidR="009B432A">
              <w:rPr>
                <w:b/>
                <w:i/>
              </w:rPr>
              <w:t xml:space="preserve"> until 2030</w:t>
            </w:r>
            <w:r w:rsidRPr="00C1308E">
              <w:rPr>
                <w:b/>
                <w:i/>
              </w:rPr>
              <w:t>, the reduction factor shall increase by 0,1 percentage points compared to the previous year</w:t>
            </w:r>
            <w:r w:rsidRPr="00C1308E">
              <w:t>. The Commission shall publish the Union-wide quantity of allowances within 3 months of [date of entry into force of the amendment to be inserted];</w:t>
            </w:r>
          </w:p>
        </w:tc>
      </w:tr>
    </w:tbl>
    <w:p w14:paraId="1F9318DA" w14:textId="77777777" w:rsidR="0022592C" w:rsidRDefault="0022592C"/>
    <w:p w14:paraId="692D1E50" w14:textId="18845DE4" w:rsidR="0022592C" w:rsidRDefault="0022592C"/>
    <w:p w14:paraId="0020E528" w14:textId="37DB2371" w:rsidR="001471CB" w:rsidRPr="00D905D8" w:rsidRDefault="001471CB" w:rsidP="001471CB">
      <w:pPr>
        <w:pStyle w:val="NormalBold"/>
      </w:pPr>
      <w:bookmarkStart w:id="0" w:name="_GoBack"/>
      <w:bookmarkEnd w:id="0"/>
      <w:r w:rsidRPr="00D905D8">
        <w:rPr>
          <w:rStyle w:val="HideTWBExt"/>
          <w:rFonts w:eastAsiaTheme="majorEastAsia"/>
        </w:rPr>
        <w:t>&lt;/RepeatBlock-By&gt;</w:t>
      </w:r>
    </w:p>
    <w:p w14:paraId="0903F225" w14:textId="77777777" w:rsidR="001471CB" w:rsidRPr="00D905D8" w:rsidRDefault="001471CB" w:rsidP="001471CB">
      <w:pPr>
        <w:pStyle w:val="NormalBold"/>
      </w:pPr>
      <w:r w:rsidRPr="00D905D8">
        <w:rPr>
          <w:rStyle w:val="HideTWBExt"/>
          <w:rFonts w:eastAsiaTheme="majorEastAsia"/>
        </w:rPr>
        <w:t>&lt;DocAmend&gt;</w:t>
      </w:r>
      <w:r w:rsidRPr="00D905D8">
        <w:t>Proposal for a directive</w:t>
      </w:r>
      <w:r w:rsidRPr="00D905D8">
        <w:rPr>
          <w:rStyle w:val="HideTWBExt"/>
          <w:rFonts w:eastAsiaTheme="majorEastAsia"/>
        </w:rPr>
        <w:t>&lt;/DocAmend&gt;</w:t>
      </w:r>
    </w:p>
    <w:p w14:paraId="776D3B46" w14:textId="77777777" w:rsidR="001471CB" w:rsidRPr="00D905D8" w:rsidRDefault="001471CB" w:rsidP="001471CB">
      <w:pPr>
        <w:pStyle w:val="NormalBold"/>
      </w:pPr>
      <w:r w:rsidRPr="00D905D8">
        <w:rPr>
          <w:rStyle w:val="HideTWBExt"/>
          <w:rFonts w:eastAsiaTheme="majorEastAsia"/>
        </w:rPr>
        <w:t>&lt;Article&gt;</w:t>
      </w:r>
      <w:r w:rsidRPr="00D905D8">
        <w:t>Recital 26</w:t>
      </w:r>
      <w:r w:rsidRPr="00D905D8">
        <w:rPr>
          <w:rStyle w:val="HideTWBExt"/>
          <w:rFonts w:eastAsiaTheme="majorEastAsia"/>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471CB" w:rsidRPr="00D905D8" w14:paraId="5B9F0ED4" w14:textId="77777777" w:rsidTr="001860F2">
        <w:trPr>
          <w:trHeight w:hRule="exact" w:val="240"/>
          <w:jc w:val="center"/>
        </w:trPr>
        <w:tc>
          <w:tcPr>
            <w:tcW w:w="9752" w:type="dxa"/>
            <w:gridSpan w:val="2"/>
          </w:tcPr>
          <w:p w14:paraId="3487DFBC" w14:textId="77777777" w:rsidR="001471CB" w:rsidRPr="00D905D8" w:rsidRDefault="001471CB" w:rsidP="001860F2"/>
        </w:tc>
      </w:tr>
      <w:tr w:rsidR="001471CB" w:rsidRPr="00D905D8" w14:paraId="05EC90B3" w14:textId="77777777" w:rsidTr="001860F2">
        <w:trPr>
          <w:trHeight w:val="240"/>
          <w:jc w:val="center"/>
        </w:trPr>
        <w:tc>
          <w:tcPr>
            <w:tcW w:w="4876" w:type="dxa"/>
          </w:tcPr>
          <w:p w14:paraId="0008CB90" w14:textId="77777777" w:rsidR="001471CB" w:rsidRPr="00D905D8" w:rsidRDefault="001471CB" w:rsidP="001860F2">
            <w:pPr>
              <w:pStyle w:val="AmColumnHeading"/>
            </w:pPr>
            <w:r w:rsidRPr="00D905D8">
              <w:t>Text proposed by the Commission</w:t>
            </w:r>
          </w:p>
        </w:tc>
        <w:tc>
          <w:tcPr>
            <w:tcW w:w="4876" w:type="dxa"/>
          </w:tcPr>
          <w:p w14:paraId="6C76000B" w14:textId="77777777" w:rsidR="001471CB" w:rsidRPr="00D905D8" w:rsidRDefault="001471CB" w:rsidP="001860F2">
            <w:pPr>
              <w:pStyle w:val="AmColumnHeading"/>
            </w:pPr>
            <w:r w:rsidRPr="00D905D8">
              <w:t>Amendment</w:t>
            </w:r>
          </w:p>
        </w:tc>
      </w:tr>
      <w:tr w:rsidR="001471CB" w:rsidRPr="00D905D8" w14:paraId="45BB8449" w14:textId="77777777" w:rsidTr="001860F2">
        <w:trPr>
          <w:jc w:val="center"/>
        </w:trPr>
        <w:tc>
          <w:tcPr>
            <w:tcW w:w="4876" w:type="dxa"/>
          </w:tcPr>
          <w:p w14:paraId="5F77D71A" w14:textId="77777777" w:rsidR="001471CB" w:rsidRPr="00D905D8" w:rsidRDefault="001471CB" w:rsidP="001860F2">
            <w:pPr>
              <w:pStyle w:val="Normal6a"/>
            </w:pPr>
            <w:r w:rsidRPr="00D905D8">
              <w:t>(26)</w:t>
            </w:r>
            <w:r w:rsidRPr="00D905D8">
              <w:tab/>
              <w:t xml:space="preserve">Achieving the Union’s emissions reduction target for 2030 will require a </w:t>
            </w:r>
            <w:r w:rsidRPr="00D905D8">
              <w:lastRenderedPageBreak/>
              <w:t xml:space="preserve">reduction in the emissions of the sectors covered by the EU ETS </w:t>
            </w:r>
            <w:r w:rsidRPr="00D905D8">
              <w:rPr>
                <w:b/>
                <w:i/>
              </w:rPr>
              <w:t>of 61 % compared to 2005</w:t>
            </w:r>
            <w:r w:rsidRPr="00D905D8">
              <w:t xml:space="preserve">. The Union-wide quantity of allowances of the EU ETS needs to be reduced to create the necessary long-term carbon price signal and drive for this degree of decarbonisation. To this end, the </w:t>
            </w:r>
            <w:r w:rsidRPr="00D905D8">
              <w:rPr>
                <w:b/>
                <w:i/>
              </w:rPr>
              <w:t>linear</w:t>
            </w:r>
            <w:r w:rsidRPr="00D905D8">
              <w:t xml:space="preserve"> reduction factor should be increased, also taking into account the inclusion of emissions from maritime transport. The latter should be derived from the emissions from maritime transport activities reported in accordance with Regulation (EU) 2015/757 for 2018 and 2019 in the Union, adjusted, from year 2021, by the linear reduction factor.</w:t>
            </w:r>
          </w:p>
        </w:tc>
        <w:tc>
          <w:tcPr>
            <w:tcW w:w="4876" w:type="dxa"/>
          </w:tcPr>
          <w:p w14:paraId="1383E381" w14:textId="77777777" w:rsidR="001471CB" w:rsidRPr="00D905D8" w:rsidRDefault="001471CB" w:rsidP="001860F2">
            <w:pPr>
              <w:pStyle w:val="Normal6a"/>
            </w:pPr>
            <w:r w:rsidRPr="00D905D8">
              <w:lastRenderedPageBreak/>
              <w:t>(26)</w:t>
            </w:r>
            <w:r w:rsidRPr="00D905D8">
              <w:tab/>
              <w:t xml:space="preserve">Achieving the Union’s emissions reduction target for 2030 </w:t>
            </w:r>
            <w:r w:rsidRPr="00D905D8">
              <w:rPr>
                <w:b/>
                <w:i/>
              </w:rPr>
              <w:t xml:space="preserve">while at the same </w:t>
            </w:r>
            <w:r w:rsidRPr="00D905D8">
              <w:rPr>
                <w:b/>
                <w:i/>
              </w:rPr>
              <w:lastRenderedPageBreak/>
              <w:t>time pursuing the goal of the Paris Agreement to limit global warming to 1,5 degrees</w:t>
            </w:r>
            <w:r w:rsidRPr="00D905D8">
              <w:t xml:space="preserve"> will require a </w:t>
            </w:r>
            <w:r w:rsidRPr="00D905D8">
              <w:rPr>
                <w:b/>
                <w:i/>
              </w:rPr>
              <w:t>significant</w:t>
            </w:r>
            <w:r w:rsidRPr="00D905D8">
              <w:t xml:space="preserve"> reduction in the emissions of the sectors covered by the EU ETS. The Union-wide quantity of allowances of the EU ETS needs to be reduced </w:t>
            </w:r>
            <w:r w:rsidRPr="00D905D8">
              <w:rPr>
                <w:b/>
                <w:i/>
              </w:rPr>
              <w:t>progressively</w:t>
            </w:r>
            <w:r w:rsidRPr="00D905D8">
              <w:t xml:space="preserve"> to create the necessary long-term carbon price signal and drive for this degree of decarbonisation. To this end, the </w:t>
            </w:r>
            <w:r w:rsidRPr="00D905D8">
              <w:rPr>
                <w:b/>
                <w:i/>
              </w:rPr>
              <w:t>annual</w:t>
            </w:r>
            <w:r w:rsidRPr="00D905D8">
              <w:t xml:space="preserve"> reduction factor should be increased, also taking into account the inclusion of emissions from maritime transport. The latter should be derived from the emissions from maritime transport activities reported in accordance with Regulation (EU) 2015/757 for 2018 and 2019 in the Union, adjusted, from year 2021, by the linear reduction factor.</w:t>
            </w:r>
          </w:p>
        </w:tc>
      </w:tr>
    </w:tbl>
    <w:p w14:paraId="3781D2D1" w14:textId="77777777" w:rsidR="001471CB" w:rsidRDefault="001471CB"/>
    <w:p w14:paraId="4303FFD8" w14:textId="0B7AE221" w:rsidR="001471CB" w:rsidRDefault="001471CB"/>
    <w:p w14:paraId="0441CB9B" w14:textId="6B2CB4F3" w:rsidR="001471CB" w:rsidRDefault="001471CB"/>
    <w:p w14:paraId="6212904F" w14:textId="77777777" w:rsidR="001471CB" w:rsidRPr="00D905D8" w:rsidRDefault="001471CB" w:rsidP="001471CB">
      <w:pPr>
        <w:pStyle w:val="NormalBold"/>
      </w:pPr>
      <w:r w:rsidRPr="00D905D8">
        <w:rPr>
          <w:rStyle w:val="HideTWBExt"/>
          <w:rFonts w:eastAsiaTheme="majorEastAsia"/>
        </w:rPr>
        <w:t>&lt;DocAmend&gt;</w:t>
      </w:r>
      <w:r w:rsidRPr="00D905D8">
        <w:t>Proposal for a directive</w:t>
      </w:r>
      <w:r w:rsidRPr="00D905D8">
        <w:rPr>
          <w:rStyle w:val="HideTWBExt"/>
          <w:rFonts w:eastAsiaTheme="majorEastAsia"/>
        </w:rPr>
        <w:t>&lt;/DocAmend&gt;</w:t>
      </w:r>
    </w:p>
    <w:p w14:paraId="7D372480" w14:textId="77777777" w:rsidR="001471CB" w:rsidRPr="00D905D8" w:rsidRDefault="001471CB" w:rsidP="001471CB">
      <w:pPr>
        <w:pStyle w:val="NormalBold"/>
      </w:pPr>
      <w:r w:rsidRPr="00D905D8">
        <w:rPr>
          <w:rStyle w:val="HideTWBExt"/>
          <w:rFonts w:eastAsiaTheme="majorEastAsia"/>
        </w:rPr>
        <w:t>&lt;Article&gt;</w:t>
      </w:r>
      <w:r w:rsidRPr="00D905D8">
        <w:t>Recital 27</w:t>
      </w:r>
      <w:r w:rsidRPr="00D905D8">
        <w:rPr>
          <w:rStyle w:val="HideTWBExt"/>
          <w:rFonts w:eastAsiaTheme="majorEastAsia"/>
        </w:rPr>
        <w:t>&lt;/Article&gt;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1471CB" w:rsidRPr="00D905D8" w14:paraId="1E6666E5" w14:textId="77777777" w:rsidTr="001860F2">
        <w:trPr>
          <w:trHeight w:hRule="exact" w:val="240"/>
          <w:jc w:val="center"/>
        </w:trPr>
        <w:tc>
          <w:tcPr>
            <w:tcW w:w="9752" w:type="dxa"/>
            <w:gridSpan w:val="2"/>
          </w:tcPr>
          <w:p w14:paraId="478041BA" w14:textId="77777777" w:rsidR="001471CB" w:rsidRPr="00D905D8" w:rsidRDefault="001471CB" w:rsidP="001860F2"/>
        </w:tc>
      </w:tr>
      <w:tr w:rsidR="001471CB" w:rsidRPr="00D905D8" w14:paraId="5BCEE042" w14:textId="77777777" w:rsidTr="001860F2">
        <w:trPr>
          <w:trHeight w:val="240"/>
          <w:jc w:val="center"/>
        </w:trPr>
        <w:tc>
          <w:tcPr>
            <w:tcW w:w="4876" w:type="dxa"/>
          </w:tcPr>
          <w:p w14:paraId="59862F5D" w14:textId="77777777" w:rsidR="001471CB" w:rsidRPr="00D905D8" w:rsidRDefault="001471CB" w:rsidP="001860F2">
            <w:pPr>
              <w:pStyle w:val="AmColumnHeading"/>
            </w:pPr>
            <w:r w:rsidRPr="00D905D8">
              <w:t>Text proposed by the Commission</w:t>
            </w:r>
          </w:p>
        </w:tc>
        <w:tc>
          <w:tcPr>
            <w:tcW w:w="4876" w:type="dxa"/>
          </w:tcPr>
          <w:p w14:paraId="0BD3EA44" w14:textId="77777777" w:rsidR="001471CB" w:rsidRPr="00D905D8" w:rsidRDefault="001471CB" w:rsidP="001860F2">
            <w:pPr>
              <w:pStyle w:val="AmColumnHeading"/>
            </w:pPr>
            <w:r w:rsidRPr="00D905D8">
              <w:t>Amendment</w:t>
            </w:r>
          </w:p>
        </w:tc>
      </w:tr>
      <w:tr w:rsidR="001471CB" w:rsidRPr="00D905D8" w14:paraId="2068EA7B" w14:textId="77777777" w:rsidTr="001860F2">
        <w:trPr>
          <w:jc w:val="center"/>
        </w:trPr>
        <w:tc>
          <w:tcPr>
            <w:tcW w:w="4876" w:type="dxa"/>
          </w:tcPr>
          <w:p w14:paraId="2A7E2E9A" w14:textId="77777777" w:rsidR="001471CB" w:rsidRPr="00D905D8" w:rsidRDefault="001471CB" w:rsidP="001860F2">
            <w:pPr>
              <w:pStyle w:val="Normal6a"/>
            </w:pPr>
            <w:r w:rsidRPr="00D905D8">
              <w:t>(27)</w:t>
            </w:r>
            <w:r w:rsidRPr="00D905D8">
              <w:tab/>
              <w:t xml:space="preserve">Bearing in mind that this Directive amends Directive 2003/87/EC in respect of a period of implementation that has already started on 1 January 2021, for reasons of predictability, environmental effectiveness and simplicity, the steeper </w:t>
            </w:r>
            <w:r w:rsidRPr="00D905D8">
              <w:rPr>
                <w:b/>
                <w:i/>
              </w:rPr>
              <w:t>linear</w:t>
            </w:r>
            <w:r w:rsidRPr="00D905D8">
              <w:t xml:space="preserve"> reduction pathway of the EU ETS should </w:t>
            </w:r>
            <w:r w:rsidRPr="00D905D8">
              <w:rPr>
                <w:b/>
                <w:i/>
              </w:rPr>
              <w:t>be a straight line from 2021 to 2030, such as to achieve emission reductions in the EU ETS of 61 % by 2030, as the appropriate intermediate step</w:t>
            </w:r>
            <w:r w:rsidRPr="00D905D8">
              <w:t xml:space="preserve"> towards Union economy-wide climate neutrality in 2050. As the increased </w:t>
            </w:r>
            <w:r w:rsidRPr="00D905D8">
              <w:rPr>
                <w:b/>
                <w:i/>
              </w:rPr>
              <w:t>linear</w:t>
            </w:r>
            <w:r w:rsidRPr="00D905D8">
              <w:t xml:space="preserve"> reduction factor can only apply from the year following the entry into force of this Directive, a one-off reduction of the quantity of allowances should reduce the total quantity of allowances so that it is in line with </w:t>
            </w:r>
            <w:r w:rsidRPr="00D905D8">
              <w:rPr>
                <w:b/>
                <w:i/>
              </w:rPr>
              <w:t>this level of annual</w:t>
            </w:r>
            <w:r w:rsidRPr="00D905D8">
              <w:t xml:space="preserve"> reduction </w:t>
            </w:r>
            <w:r w:rsidRPr="00D905D8">
              <w:rPr>
                <w:b/>
                <w:i/>
              </w:rPr>
              <w:t>having been made from 2021 onwards</w:t>
            </w:r>
            <w:r w:rsidRPr="00D905D8">
              <w:t>.</w:t>
            </w:r>
          </w:p>
        </w:tc>
        <w:tc>
          <w:tcPr>
            <w:tcW w:w="4876" w:type="dxa"/>
          </w:tcPr>
          <w:p w14:paraId="45CE8FA1" w14:textId="3384238E" w:rsidR="001471CB" w:rsidRPr="00D905D8" w:rsidRDefault="001471CB" w:rsidP="001471CB">
            <w:pPr>
              <w:pStyle w:val="Normal6a"/>
            </w:pPr>
            <w:r w:rsidRPr="00D905D8">
              <w:t>(27)</w:t>
            </w:r>
            <w:r w:rsidRPr="00D905D8">
              <w:tab/>
              <w:t xml:space="preserve">Bearing in mind that this Directive amends Directive 2003/87/EC in respect of a period of implementation that has already started on 1 January 2021, for reasons of predictability, environmental effectiveness and simplicity, the steeper reduction pathway of the EU ETS should </w:t>
            </w:r>
            <w:r w:rsidRPr="00D905D8">
              <w:rPr>
                <w:b/>
                <w:i/>
              </w:rPr>
              <w:t>provide a clear direction</w:t>
            </w:r>
            <w:r w:rsidRPr="00D905D8">
              <w:t xml:space="preserve"> towards </w:t>
            </w:r>
            <w:r w:rsidRPr="001471CB">
              <w:rPr>
                <w:b/>
                <w:i/>
              </w:rPr>
              <w:t>achieving the goal of the Paris Agreement and the</w:t>
            </w:r>
            <w:r>
              <w:t xml:space="preserve"> </w:t>
            </w:r>
            <w:r w:rsidRPr="00D905D8">
              <w:t xml:space="preserve">Union economy-wide climate neutrality in 2050 </w:t>
            </w:r>
            <w:r w:rsidRPr="00D905D8">
              <w:rPr>
                <w:b/>
                <w:i/>
              </w:rPr>
              <w:t>at the latest</w:t>
            </w:r>
            <w:r w:rsidRPr="00D905D8">
              <w:t xml:space="preserve">. As the increased reduction factor can only apply from the year following the entry into force of this Directive, a one-off reduction of the quantity of allowances should reduce the total quantity of allowances so that it is in line with </w:t>
            </w:r>
            <w:r w:rsidRPr="00D905D8">
              <w:rPr>
                <w:b/>
                <w:i/>
              </w:rPr>
              <w:t xml:space="preserve">the </w:t>
            </w:r>
            <w:r>
              <w:rPr>
                <w:b/>
                <w:i/>
              </w:rPr>
              <w:t xml:space="preserve">real </w:t>
            </w:r>
            <w:r w:rsidRPr="00D905D8">
              <w:rPr>
                <w:b/>
                <w:i/>
              </w:rPr>
              <w:t>average emissions of the three years</w:t>
            </w:r>
            <w:r>
              <w:rPr>
                <w:b/>
                <w:i/>
              </w:rPr>
              <w:t xml:space="preserve"> preceding the entry into force of this Directive</w:t>
            </w:r>
            <w:r w:rsidRPr="00D905D8">
              <w:rPr>
                <w:b/>
                <w:i/>
              </w:rPr>
              <w:t>, adjusted, from the mid-point of this period, by the linear</w:t>
            </w:r>
            <w:r w:rsidRPr="00D905D8">
              <w:t xml:space="preserve"> reduction </w:t>
            </w:r>
            <w:r w:rsidRPr="00D905D8">
              <w:rPr>
                <w:b/>
                <w:i/>
              </w:rPr>
              <w:t>factor</w:t>
            </w:r>
            <w:r w:rsidRPr="00D905D8">
              <w:t>.</w:t>
            </w:r>
          </w:p>
        </w:tc>
      </w:tr>
    </w:tbl>
    <w:p w14:paraId="6A5A86C4" w14:textId="77777777" w:rsidR="0022592C" w:rsidRDefault="0022592C" w:rsidP="001471CB">
      <w:pPr>
        <w:jc w:val="left"/>
      </w:pPr>
    </w:p>
    <w:sectPr w:rsidR="002259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92C"/>
    <w:rsid w:val="001471CB"/>
    <w:rsid w:val="0022592C"/>
    <w:rsid w:val="005762E3"/>
    <w:rsid w:val="006341E8"/>
    <w:rsid w:val="008765BE"/>
    <w:rsid w:val="009B43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35741"/>
  <w15:chartTrackingRefBased/>
  <w15:docId w15:val="{A880401A-9FBF-4273-B294-8D4ED643B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uiPriority w:val="9"/>
    <w:semiHidden/>
    <w:unhideWhenUsed/>
    <w:qFormat/>
    <w:rsid w:val="005762E3"/>
    <w:pPr>
      <w:spacing w:before="240" w:after="60"/>
      <w:outlineLvl w:val="7"/>
    </w:pPr>
    <w:rPr>
      <w:i/>
      <w:iCs/>
    </w:rPr>
  </w:style>
  <w:style w:type="paragraph" w:styleId="Heading9">
    <w:name w:val="heading 9"/>
    <w:basedOn w:val="Normal"/>
    <w:next w:val="Normal"/>
    <w:link w:val="Heading9Char"/>
    <w:uiPriority w:val="9"/>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 w:type="character" w:customStyle="1" w:styleId="HideTWBExt">
    <w:name w:val="HideTWBExt"/>
    <w:basedOn w:val="DefaultParagraphFont"/>
    <w:rsid w:val="0022592C"/>
    <w:rPr>
      <w:rFonts w:ascii="Arial" w:hAnsi="Arial" w:cs="Arial"/>
      <w:b w:val="0"/>
      <w:i w:val="0"/>
      <w:strike w:val="0"/>
      <w:noProof/>
      <w:vanish/>
      <w:color w:val="000080"/>
      <w:sz w:val="20"/>
    </w:rPr>
  </w:style>
  <w:style w:type="paragraph" w:customStyle="1" w:styleId="Normal6a">
    <w:name w:val="Normal6a"/>
    <w:basedOn w:val="Normal"/>
    <w:rsid w:val="0022592C"/>
    <w:pPr>
      <w:widowControl w:val="0"/>
      <w:spacing w:after="120"/>
      <w:jc w:val="left"/>
    </w:pPr>
    <w:rPr>
      <w:rFonts w:eastAsia="Times New Roman"/>
      <w:szCs w:val="20"/>
      <w:lang w:eastAsia="en-GB"/>
    </w:rPr>
  </w:style>
  <w:style w:type="paragraph" w:customStyle="1" w:styleId="NormalBold">
    <w:name w:val="NormalBold"/>
    <w:basedOn w:val="Normal"/>
    <w:rsid w:val="0022592C"/>
    <w:pPr>
      <w:widowControl w:val="0"/>
      <w:jc w:val="left"/>
    </w:pPr>
    <w:rPr>
      <w:rFonts w:eastAsia="Times New Roman"/>
      <w:b/>
      <w:szCs w:val="20"/>
      <w:lang w:eastAsia="en-GB"/>
    </w:rPr>
  </w:style>
  <w:style w:type="paragraph" w:customStyle="1" w:styleId="AmColumnHeading">
    <w:name w:val="AmColumnHeading"/>
    <w:basedOn w:val="Normal"/>
    <w:rsid w:val="0022592C"/>
    <w:pPr>
      <w:widowControl w:val="0"/>
      <w:spacing w:after="240"/>
      <w:jc w:val="center"/>
    </w:pPr>
    <w:rPr>
      <w:rFonts w:eastAsia="Times New Roman"/>
      <w:i/>
      <w:szCs w:val="20"/>
      <w:lang w:eastAsia="en-GB"/>
    </w:rPr>
  </w:style>
  <w:style w:type="paragraph" w:styleId="BalloonText">
    <w:name w:val="Balloon Text"/>
    <w:basedOn w:val="Normal"/>
    <w:link w:val="BalloonTextChar"/>
    <w:uiPriority w:val="99"/>
    <w:semiHidden/>
    <w:unhideWhenUsed/>
    <w:rsid w:val="002259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592C"/>
    <w:rPr>
      <w:rFonts w:ascii="Segoe UI" w:hAnsi="Segoe UI" w:cs="Segoe UI"/>
      <w:sz w:val="18"/>
      <w:szCs w:val="18"/>
    </w:rPr>
  </w:style>
  <w:style w:type="character" w:styleId="CommentReference">
    <w:name w:val="annotation reference"/>
    <w:basedOn w:val="DefaultParagraphFont"/>
    <w:uiPriority w:val="99"/>
    <w:semiHidden/>
    <w:unhideWhenUsed/>
    <w:rsid w:val="0022592C"/>
    <w:rPr>
      <w:sz w:val="16"/>
      <w:szCs w:val="16"/>
    </w:rPr>
  </w:style>
  <w:style w:type="paragraph" w:styleId="CommentText">
    <w:name w:val="annotation text"/>
    <w:basedOn w:val="Normal"/>
    <w:link w:val="CommentTextChar"/>
    <w:uiPriority w:val="99"/>
    <w:semiHidden/>
    <w:unhideWhenUsed/>
    <w:rsid w:val="0022592C"/>
    <w:rPr>
      <w:sz w:val="20"/>
      <w:szCs w:val="20"/>
    </w:rPr>
  </w:style>
  <w:style w:type="character" w:customStyle="1" w:styleId="CommentTextChar">
    <w:name w:val="Comment Text Char"/>
    <w:basedOn w:val="DefaultParagraphFont"/>
    <w:link w:val="CommentText"/>
    <w:uiPriority w:val="99"/>
    <w:semiHidden/>
    <w:rsid w:val="0022592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2592C"/>
    <w:rPr>
      <w:b/>
      <w:bCs/>
    </w:rPr>
  </w:style>
  <w:style w:type="character" w:customStyle="1" w:styleId="CommentSubjectChar">
    <w:name w:val="Comment Subject Char"/>
    <w:basedOn w:val="CommentTextChar"/>
    <w:link w:val="CommentSubject"/>
    <w:uiPriority w:val="99"/>
    <w:semiHidden/>
    <w:rsid w:val="0022592C"/>
    <w:rPr>
      <w:rFonts w:ascii="Times New Roman" w:hAnsi="Times New Roman"/>
      <w:b/>
      <w:bCs/>
      <w:sz w:val="20"/>
      <w:szCs w:val="20"/>
    </w:rPr>
  </w:style>
  <w:style w:type="paragraph" w:customStyle="1" w:styleId="AmNumberTabs">
    <w:name w:val="AmNumberTabs"/>
    <w:basedOn w:val="Normal"/>
    <w:rsid w:val="0022592C"/>
    <w:pPr>
      <w:widowControl w:val="0"/>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jc w:val="left"/>
    </w:pPr>
    <w:rPr>
      <w:rFonts w:eastAsia="Times New Roman"/>
      <w:b/>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798</Words>
  <Characters>4554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BARGUM Wilhelm</dc:creator>
  <cp:keywords/>
  <dc:description/>
  <cp:lastModifiedBy>BARGUM Wilhelm</cp:lastModifiedBy>
  <cp:revision>2</cp:revision>
  <dcterms:created xsi:type="dcterms:W3CDTF">2022-05-10T12:04:00Z</dcterms:created>
  <dcterms:modified xsi:type="dcterms:W3CDTF">2022-05-10T12:04:00Z</dcterms:modified>
</cp:coreProperties>
</file>